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1317"/>
        <w:gridCol w:w="5700"/>
        <w:gridCol w:w="4565"/>
        <w:gridCol w:w="577"/>
      </w:tblGrid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31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نمایه</w:t>
            </w:r>
          </w:p>
        </w:tc>
        <w:tc>
          <w:tcPr>
            <w:tcW w:w="5700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  <w:tc>
          <w:tcPr>
            <w:tcW w:w="4565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577" w:type="dxa"/>
          </w:tcPr>
          <w:p w:rsidR="00DD6426" w:rsidRPr="008B6725" w:rsidRDefault="008B6725" w:rsidP="008B6725">
            <w:pP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1317" w:type="dxa"/>
          </w:tcPr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hAnsi="Adobe Caslon Pro Bold"/>
                <w:b/>
                <w:bCs/>
                <w:sz w:val="20"/>
                <w:szCs w:val="20"/>
              </w:rPr>
              <w:t>ELSEVIER</w:t>
            </w:r>
          </w:p>
        </w:tc>
        <w:tc>
          <w:tcPr>
            <w:tcW w:w="5700" w:type="dxa"/>
          </w:tcPr>
          <w:p w:rsidR="00DD6426" w:rsidRPr="008B6725" w:rsidRDefault="00DD6426" w:rsidP="008B6725">
            <w:pPr>
              <w:spacing w:after="76"/>
              <w:ind w:left="-5" w:hanging="10"/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</w:pP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Seyed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Reza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Mirhafez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gram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a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b</w:t>
            </w:r>
            <w:proofErr w:type="gram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1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Amir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Avan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b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c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1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Alireza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Pasdar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b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d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1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Elaheh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Kazemi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e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Faezeh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Ghasemi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b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,</w:t>
            </w:r>
          </w:p>
          <w:p w:rsidR="00DD6426" w:rsidRPr="008B6725" w:rsidRDefault="00DD6426" w:rsidP="008B6725">
            <w:pPr>
              <w:spacing w:after="15"/>
              <w:ind w:left="-5" w:hanging="10"/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</w:pP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Amir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Tajbakhsh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b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Samaneh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Tabaee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a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Gordon A. Ferns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f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, Majid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>Ghayour-Mobarhan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gram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422874"/>
                <w:sz w:val="20"/>
                <w:szCs w:val="20"/>
                <w:vertAlign w:val="superscript"/>
              </w:rPr>
              <w:t>c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181717"/>
                <w:sz w:val="20"/>
                <w:szCs w:val="20"/>
                <w:vertAlign w:val="superscript"/>
              </w:rPr>
              <w:t>,</w:t>
            </w:r>
            <w:r w:rsidRPr="008B6725">
              <w:rPr>
                <w:rFonts w:ascii="Times New Roman" w:eastAsia="Calibri" w:hAnsi="Times New Roman" w:cs="Times New Roman"/>
                <w:b/>
                <w:bCs/>
                <w:color w:val="422874"/>
                <w:sz w:val="20"/>
                <w:szCs w:val="20"/>
              </w:rPr>
              <w:t>⁎</w:t>
            </w:r>
            <w:proofErr w:type="gramEnd"/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Association of tumor necrosis factor-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</w:rPr>
              <w:t xml:space="preserve">α </w:t>
            </w:r>
            <w:r w:rsidRPr="008B6725">
              <w:rPr>
                <w:rFonts w:ascii="Adobe Caslon Pro Bold" w:hAnsi="Adobe Caslon Pro Bold"/>
                <w:b/>
                <w:bCs/>
                <w:sz w:val="20"/>
                <w:szCs w:val="20"/>
              </w:rPr>
              <w:t>promoter G-308A gene polymorphism with increased triglyceride level of subjects with metabolic syndrome</w:t>
            </w:r>
            <w:r w:rsidRPr="008B6725">
              <w:rPr>
                <w:rFonts w:ascii="Segoe UI Symbol" w:eastAsia="Calibri" w:hAnsi="Segoe UI Symbol" w:cs="Segoe UI Symbol"/>
                <w:b/>
                <w:bCs/>
                <w:color w:val="422874"/>
                <w:sz w:val="20"/>
                <w:szCs w:val="20"/>
              </w:rPr>
              <w:t>☆</w:t>
            </w: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6725" w:rsidRPr="008B6725" w:rsidTr="008B6725">
        <w:trPr>
          <w:trHeight w:val="422"/>
        </w:trPr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1317" w:type="dxa"/>
          </w:tcPr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hAnsi="Adobe Caslon Pro Bold"/>
                <w:b/>
                <w:bCs/>
                <w:sz w:val="20"/>
                <w:szCs w:val="20"/>
              </w:rPr>
              <w:t>IJOH</w:t>
            </w:r>
          </w:p>
        </w:tc>
        <w:tc>
          <w:tcPr>
            <w:tcW w:w="5700" w:type="dxa"/>
          </w:tcPr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eastAsia="Arial" w:hAnsi="Adobe Caslon Pro Bold" w:cs="Arial"/>
                <w:b/>
                <w:bCs/>
                <w:sz w:val="20"/>
                <w:szCs w:val="20"/>
              </w:rPr>
              <w:t>SOMAYEH RAHIMI MOGHADAM</w:t>
            </w:r>
            <w:r w:rsidRPr="008B6725">
              <w:rPr>
                <w:rFonts w:ascii="Adobe Caslon Pro Bold" w:eastAsia="Arial" w:hAnsi="Adobe Caslon Pro Bold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8B6725">
              <w:rPr>
                <w:rFonts w:ascii="Adobe Caslon Pro Bold" w:eastAsia="Arial" w:hAnsi="Adobe Caslon Pro Bold" w:cs="Arial"/>
                <w:b/>
                <w:bCs/>
                <w:sz w:val="20"/>
                <w:szCs w:val="20"/>
              </w:rPr>
              <w:t>, and NARGES KHANJANI</w:t>
            </w:r>
            <w:r w:rsidRPr="008B6725">
              <w:rPr>
                <w:rFonts w:ascii="Adobe Caslon Pro Bold" w:eastAsia="Arial" w:hAnsi="Adobe Caslon Pro Bold" w:cs="Arial"/>
                <w:b/>
                <w:bCs/>
                <w:sz w:val="20"/>
                <w:szCs w:val="20"/>
                <w:vertAlign w:val="superscript"/>
              </w:rPr>
              <w:t>2, 3*</w:t>
            </w:r>
          </w:p>
        </w:tc>
        <w:tc>
          <w:tcPr>
            <w:tcW w:w="4565" w:type="dxa"/>
          </w:tcPr>
          <w:p w:rsidR="00DD6426" w:rsidRPr="008B6725" w:rsidRDefault="00DD6426" w:rsidP="008B6725">
            <w:pPr>
              <w:ind w:left="264"/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Arial" w:hAnsi="Adobe Caslon Pro Bold" w:cs="Arial"/>
                <w:b/>
                <w:bCs/>
                <w:color w:val="000000"/>
                <w:sz w:val="20"/>
                <w:szCs w:val="20"/>
              </w:rPr>
              <w:t>Evaluation of Hearing Loss and Changes in Blood</w:t>
            </w:r>
          </w:p>
          <w:p w:rsidR="00DD6426" w:rsidRPr="008B6725" w:rsidRDefault="00DD6426" w:rsidP="008B6725">
            <w:pPr>
              <w:spacing w:after="470"/>
              <w:ind w:right="290"/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Arial" w:hAnsi="Adobe Caslon Pro Bold" w:cs="Arial"/>
                <w:b/>
                <w:bCs/>
                <w:color w:val="000000"/>
                <w:sz w:val="20"/>
                <w:szCs w:val="20"/>
              </w:rPr>
              <w:t>Pressure of Welders in a 4 Year Period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1317" w:type="dxa"/>
          </w:tcPr>
          <w:p w:rsidR="00DD6426" w:rsidRPr="008B6725" w:rsidRDefault="00DD6426" w:rsidP="008B6725">
            <w:pPr>
              <w:keepNext/>
              <w:keepLines/>
              <w:bidi/>
              <w:ind w:left="10" w:right="197" w:hanging="10"/>
              <w:outlineLvl w:val="0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مجله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دانشکده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پزستاري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مامايي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اروميه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00" w:type="dxa"/>
          </w:tcPr>
          <w:p w:rsidR="00DD6426" w:rsidRPr="008B6725" w:rsidRDefault="00DD6426" w:rsidP="008B6725">
            <w:pPr>
              <w:bidi/>
              <w:ind w:left="3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خيسران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ميري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*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امين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کشاورز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سارا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شيردل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زاده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،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مهدي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پارسا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DD6426" w:rsidRPr="008B6725" w:rsidRDefault="00DD6426" w:rsidP="008B6725">
            <w:pPr>
              <w:bidi/>
              <w:spacing w:after="57"/>
              <w:ind w:left="2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ارتباط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هوش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معنوي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پرستاران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با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کيفيت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مراقبت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پرستاري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از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ديد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پرستاران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بيماران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1317" w:type="dxa"/>
          </w:tcPr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</w:rPr>
              <w:t>British Journal of Nutrition</w:t>
            </w:r>
          </w:p>
        </w:tc>
        <w:tc>
          <w:tcPr>
            <w:tcW w:w="5700" w:type="dxa"/>
          </w:tcPr>
          <w:p w:rsidR="00DD6426" w:rsidRPr="008B6725" w:rsidRDefault="00DD6426" w:rsidP="008B6725">
            <w:pPr>
              <w:spacing w:after="50"/>
              <w:ind w:left="-5" w:hanging="10"/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Seyed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 Reza Mirhafez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1,2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†,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Alireza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 Pasdar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2,3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Amir Avan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†,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Habibollah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 Esmaily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Atefeh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 Moezzi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DD6426" w:rsidRPr="008B6725" w:rsidRDefault="00DD6426" w:rsidP="008B6725">
            <w:pPr>
              <w:spacing w:after="50"/>
              <w:ind w:left="-5" w:hanging="10"/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Mohsen Mohebati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Zahra Meshkat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Hassan Mehrad-Majd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Saied Eslami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6,7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Hamid Reza Rahimi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Hamed</w:t>
            </w:r>
            <w:proofErr w:type="spellEnd"/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 xml:space="preserve"> Ghazavi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8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, Gordon A. Ferns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9 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and Majid Ghayour-Mobarhan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2,5,10</w:t>
            </w:r>
            <w:r w:rsidRPr="008B6725">
              <w:rPr>
                <w:rFonts w:ascii="Adobe Caslon Pro Bold" w:eastAsia="Times New Roman" w:hAnsi="Adobe Caslon Pro Bold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DD6426" w:rsidRPr="008B6725" w:rsidRDefault="00DD6426" w:rsidP="008B6725">
            <w:pPr>
              <w:spacing w:after="367"/>
              <w:rPr>
                <w:rFonts w:ascii="Adobe Caslon Pro Bold" w:eastAsia="Times New Roman" w:hAnsi="Adobe Caslon Pro Bold" w:cs="Times New Roman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</w:rPr>
              <w:t>Cytokine and growth factor profiling in patients with the metabolic syndrome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lastRenderedPageBreak/>
              <w:t>2015</w:t>
            </w:r>
          </w:p>
        </w:tc>
        <w:tc>
          <w:tcPr>
            <w:tcW w:w="1317" w:type="dxa"/>
          </w:tcPr>
          <w:p w:rsidR="00DD6426" w:rsidRPr="008B6725" w:rsidRDefault="00F43474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proofErr w:type="spellStart"/>
            <w:r w:rsidRPr="008B6725">
              <w:rPr>
                <w:rFonts w:ascii="Adobe Caslon Pro Bold" w:hAnsi="Adobe Caslon Pro Bold"/>
                <w:b/>
                <w:bCs/>
                <w:sz w:val="20"/>
                <w:szCs w:val="20"/>
              </w:rPr>
              <w:t>Karger</w:t>
            </w:r>
            <w:proofErr w:type="spellEnd"/>
          </w:p>
        </w:tc>
        <w:tc>
          <w:tcPr>
            <w:tcW w:w="5700" w:type="dxa"/>
          </w:tcPr>
          <w:p w:rsidR="00F43474" w:rsidRPr="008B6725" w:rsidRDefault="00F43474" w:rsidP="008B6725">
            <w:pPr>
              <w:spacing w:after="40" w:line="316" w:lineRule="auto"/>
              <w:ind w:right="1521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S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aeed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Samarghandian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  <w:vertAlign w:val="superscript"/>
              </w:rPr>
              <w:t>a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  Mohsen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Azimi-Nezhad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  <w:vertAlign w:val="superscript"/>
              </w:rPr>
              <w:t>a, b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  Hassan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Mehrad-Majd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  <w:vertAlign w:val="superscript"/>
              </w:rPr>
              <w:t>a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 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Seyed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Reza </w:t>
            </w: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Mirhafez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</w:t>
            </w: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  <w:vertAlign w:val="superscript"/>
              </w:rPr>
              <w:t>a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DD6426" w:rsidRPr="008B6725" w:rsidRDefault="00DD6426" w:rsidP="008B6725">
            <w:pPr>
              <w:spacing w:after="81" w:line="217" w:lineRule="auto"/>
              <w:ind w:left="-5" w:right="1713" w:hanging="10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Thymoquinone</w:t>
            </w:r>
            <w:proofErr w:type="spellEnd"/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 xml:space="preserve"> Ameliorates Acute Renal</w:t>
            </w:r>
          </w:p>
          <w:p w:rsidR="00DD6426" w:rsidRPr="008B6725" w:rsidRDefault="00DD6426" w:rsidP="008B6725">
            <w:pPr>
              <w:spacing w:after="221" w:line="217" w:lineRule="auto"/>
              <w:ind w:left="-5" w:right="1713" w:hanging="10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Myriad Pro" w:hAnsi="Adobe Caslon Pro Bold" w:cs="Myriad Pro"/>
                <w:b/>
                <w:bCs/>
                <w:color w:val="211F1F"/>
                <w:sz w:val="20"/>
                <w:szCs w:val="20"/>
              </w:rPr>
              <w:t>Failure in Gentamicin-Treated Adult Male Rats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B6725" w:rsidRPr="008B6725" w:rsidTr="008B6725">
        <w:tc>
          <w:tcPr>
            <w:tcW w:w="791" w:type="dxa"/>
          </w:tcPr>
          <w:p w:rsidR="00DD6426" w:rsidRPr="008B6725" w:rsidRDefault="008B6725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2015</w:t>
            </w:r>
          </w:p>
        </w:tc>
        <w:tc>
          <w:tcPr>
            <w:tcW w:w="1317" w:type="dxa"/>
          </w:tcPr>
          <w:p w:rsidR="00DD6426" w:rsidRPr="008B6725" w:rsidRDefault="00F43474" w:rsidP="008B6725">
            <w:pPr>
              <w:bidi/>
              <w:spacing w:after="39"/>
              <w:ind w:right="97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مجله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مهندسی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بهداشت</w:t>
            </w:r>
            <w:r w:rsidRPr="008B6725"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B6725">
              <w:rPr>
                <w:rFonts w:ascii="Adobe Caslon Pro Bold" w:eastAsia="Calibri" w:hAnsi="Adobe Caslon Pro Bold" w:cs="Arial"/>
                <w:b/>
                <w:bCs/>
                <w:color w:val="000000"/>
                <w:sz w:val="20"/>
                <w:szCs w:val="20"/>
                <w:rtl/>
              </w:rPr>
              <w:t>حرفهاي</w:t>
            </w:r>
          </w:p>
        </w:tc>
        <w:tc>
          <w:tcPr>
            <w:tcW w:w="5700" w:type="dxa"/>
          </w:tcPr>
          <w:p w:rsidR="00DD6426" w:rsidRPr="008B6725" w:rsidRDefault="00F43474" w:rsidP="008B6725">
            <w:pPr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8B6725">
              <w:rPr>
                <w:rFonts w:ascii="Adobe Caslon Pro Bold" w:eastAsia="Calibri" w:hAnsi="Adobe Caslon Pro Bold" w:cs="Times New Roman"/>
                <w:b/>
                <w:bCs/>
                <w:sz w:val="20"/>
                <w:szCs w:val="20"/>
                <w:rtl/>
              </w:rPr>
              <w:t>اکرم جعفري رودبندي، سمیه دانشور، معصومه صادقی، طیبه برسم، سمیه رحیمی مقدم، وفا فیضی</w:t>
            </w:r>
          </w:p>
        </w:tc>
        <w:tc>
          <w:tcPr>
            <w:tcW w:w="4565" w:type="dxa"/>
          </w:tcPr>
          <w:p w:rsidR="00F43474" w:rsidRPr="008B6725" w:rsidRDefault="00F43474" w:rsidP="008B6725">
            <w:pPr>
              <w:bidi/>
              <w:spacing w:after="417"/>
              <w:ind w:right="377"/>
              <w:rPr>
                <w:rFonts w:ascii="Adobe Caslon Pro Bold" w:eastAsia="Calibri" w:hAnsi="Adobe Caslon Pro Bold" w:cs="Calibri"/>
                <w:b/>
                <w:bCs/>
                <w:color w:val="000000"/>
                <w:sz w:val="20"/>
                <w:szCs w:val="20"/>
              </w:rPr>
            </w:pPr>
            <w:r w:rsidRPr="008B6725">
              <w:rPr>
                <w:rFonts w:ascii="Adobe Caslon Pro Bold" w:eastAsia="Titr" w:hAnsi="Adobe Caslon Pro Bold" w:cs="Titr"/>
                <w:b/>
                <w:bCs/>
                <w:color w:val="000000"/>
                <w:sz w:val="20"/>
                <w:szCs w:val="20"/>
                <w:rtl/>
              </w:rPr>
              <w:t xml:space="preserve">بررسی شیوع اختلالات اسکلتی-عضلانی و عوامل مؤثر بر آن در کشاورزان  شهرستان زرند در سال </w:t>
            </w:r>
            <w:r w:rsidRPr="008B6725">
              <w:rPr>
                <w:rFonts w:ascii="Adobe Caslon Pro Bold" w:eastAsia="Titr" w:hAnsi="Adobe Caslon Pro Bold" w:cs="Titr"/>
                <w:b/>
                <w:bCs/>
                <w:color w:val="000000"/>
                <w:sz w:val="20"/>
                <w:szCs w:val="20"/>
              </w:rPr>
              <w:t>1390</w:t>
            </w:r>
          </w:p>
          <w:p w:rsidR="00DD6426" w:rsidRPr="008B6725" w:rsidRDefault="00DD6426" w:rsidP="008B6725">
            <w:pPr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:rsidR="00DD6426" w:rsidRPr="008B6725" w:rsidRDefault="008B6725" w:rsidP="008B6725">
            <w:pPr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</w:tbl>
    <w:p w:rsidR="00FF6702" w:rsidRPr="008B6725" w:rsidRDefault="00FF6702" w:rsidP="008B6725">
      <w:pPr>
        <w:rPr>
          <w:rFonts w:ascii="Adobe Caslon Pro Bold" w:hAnsi="Adobe Caslon Pro Bold"/>
          <w:b/>
          <w:bCs/>
          <w:sz w:val="20"/>
          <w:szCs w:val="20"/>
        </w:rPr>
      </w:pPr>
    </w:p>
    <w:sectPr w:rsidR="00FF6702" w:rsidRPr="008B6725" w:rsidSect="00DD6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3F" w:rsidRDefault="0019113F" w:rsidP="00DD6426">
      <w:pPr>
        <w:spacing w:after="0" w:line="240" w:lineRule="auto"/>
      </w:pPr>
      <w:r>
        <w:separator/>
      </w:r>
    </w:p>
  </w:endnote>
  <w:endnote w:type="continuationSeparator" w:id="0">
    <w:p w:rsidR="0019113F" w:rsidRDefault="0019113F" w:rsidP="00D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t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3F" w:rsidRDefault="0019113F" w:rsidP="00DD6426">
      <w:pPr>
        <w:spacing w:after="0" w:line="240" w:lineRule="auto"/>
      </w:pPr>
      <w:r>
        <w:separator/>
      </w:r>
    </w:p>
  </w:footnote>
  <w:footnote w:type="continuationSeparator" w:id="0">
    <w:p w:rsidR="0019113F" w:rsidRDefault="0019113F" w:rsidP="00DD6426">
      <w:pPr>
        <w:spacing w:after="0" w:line="240" w:lineRule="auto"/>
      </w:pPr>
      <w:r>
        <w:continuationSeparator/>
      </w:r>
    </w:p>
  </w:footnote>
  <w:footnote w:id="1">
    <w:p w:rsidR="00DD6426" w:rsidRDefault="00DD6426" w:rsidP="00DD6426">
      <w:pPr>
        <w:bidi/>
        <w:spacing w:after="23"/>
      </w:pPr>
    </w:p>
  </w:footnote>
  <w:footnote w:id="2">
    <w:p w:rsidR="00DD6426" w:rsidRDefault="00DD6426" w:rsidP="00DD6426">
      <w:pPr>
        <w:bidi/>
        <w:spacing w:after="80"/>
      </w:pPr>
    </w:p>
  </w:footnote>
  <w:footnote w:id="3">
    <w:p w:rsidR="00DD6426" w:rsidRDefault="00DD6426" w:rsidP="00DD6426">
      <w:pPr>
        <w:bidi/>
        <w:spacing w:after="32"/>
      </w:pPr>
    </w:p>
  </w:footnote>
  <w:footnote w:id="4">
    <w:p w:rsidR="00DD6426" w:rsidRDefault="00DD6426" w:rsidP="00DD6426">
      <w:pPr>
        <w:bidi/>
        <w:spacing w:after="729"/>
      </w:pPr>
    </w:p>
    <w:p w:rsidR="00DD6426" w:rsidRDefault="00DD6426" w:rsidP="00DD6426">
      <w:pPr>
        <w:tabs>
          <w:tab w:val="center" w:pos="283"/>
          <w:tab w:val="center" w:pos="8548"/>
        </w:tabs>
      </w:pPr>
      <w:r>
        <w:rPr>
          <w:rFonts w:ascii="Calibri" w:eastAsia="Calibri" w:hAnsi="Calibri" w:cs="Calibri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AC"/>
    <w:rsid w:val="0019113F"/>
    <w:rsid w:val="00480BAC"/>
    <w:rsid w:val="008B6725"/>
    <w:rsid w:val="00DD6426"/>
    <w:rsid w:val="00F43474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E9A7"/>
  <w15:chartTrackingRefBased/>
  <w15:docId w15:val="{28E52AAB-DE8B-4443-9BC9-D4F1FD82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Neda Khosh Kholgh</cp:lastModifiedBy>
  <cp:revision>3</cp:revision>
  <dcterms:created xsi:type="dcterms:W3CDTF">2018-12-06T08:12:00Z</dcterms:created>
  <dcterms:modified xsi:type="dcterms:W3CDTF">2018-12-09T11:08:00Z</dcterms:modified>
</cp:coreProperties>
</file>