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16" w:rsidRDefault="004D3B16" w:rsidP="00A123CB">
      <w:pPr>
        <w:bidi/>
        <w:rPr>
          <w:rtl/>
          <w:lang w:bidi="fa-IR"/>
        </w:rPr>
      </w:pPr>
    </w:p>
    <w:p w:rsidR="004D3B16" w:rsidRDefault="004D3B16" w:rsidP="00A123C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4D3B16" w:rsidRPr="004D3B16" w:rsidRDefault="004D3B16" w:rsidP="00A123CB">
      <w:pPr>
        <w:bidi/>
        <w:rPr>
          <w:b/>
          <w:bCs/>
          <w:sz w:val="36"/>
          <w:szCs w:val="36"/>
        </w:rPr>
      </w:pPr>
      <w:r w:rsidRPr="004D3B16">
        <w:rPr>
          <w:rFonts w:hint="cs"/>
          <w:b/>
          <w:bCs/>
          <w:sz w:val="36"/>
          <w:szCs w:val="36"/>
          <w:rtl/>
        </w:rPr>
        <w:t xml:space="preserve">لیست کتابهای جدید خریداری شده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5"/>
        <w:gridCol w:w="3254"/>
        <w:gridCol w:w="1139"/>
        <w:gridCol w:w="3260"/>
        <w:gridCol w:w="678"/>
      </w:tblGrid>
      <w:tr w:rsidR="004D3B16" w:rsidTr="00A123CB">
        <w:tc>
          <w:tcPr>
            <w:tcW w:w="1245" w:type="dxa"/>
          </w:tcPr>
          <w:p w:rsidR="004D3B16" w:rsidRPr="004D3B16" w:rsidRDefault="004D3B16" w:rsidP="00A123CB">
            <w:pPr>
              <w:bidi/>
              <w:rPr>
                <w:sz w:val="44"/>
                <w:szCs w:val="48"/>
                <w:rtl/>
              </w:rPr>
            </w:pPr>
            <w:r w:rsidRPr="004D3B16">
              <w:rPr>
                <w:rFonts w:hint="cs"/>
                <w:sz w:val="44"/>
                <w:szCs w:val="48"/>
                <w:rtl/>
              </w:rPr>
              <w:t>ردیف</w:t>
            </w:r>
          </w:p>
        </w:tc>
        <w:tc>
          <w:tcPr>
            <w:tcW w:w="3254" w:type="dxa"/>
          </w:tcPr>
          <w:p w:rsidR="004D3B16" w:rsidRPr="004D3B16" w:rsidRDefault="004D3B16" w:rsidP="00A123CB">
            <w:pPr>
              <w:bidi/>
              <w:rPr>
                <w:sz w:val="44"/>
                <w:szCs w:val="48"/>
                <w:rtl/>
              </w:rPr>
            </w:pPr>
            <w:r w:rsidRPr="004D3B16">
              <w:rPr>
                <w:rFonts w:hint="cs"/>
                <w:sz w:val="44"/>
                <w:szCs w:val="48"/>
                <w:rtl/>
              </w:rPr>
              <w:t>نام کتاب</w:t>
            </w:r>
          </w:p>
        </w:tc>
        <w:tc>
          <w:tcPr>
            <w:tcW w:w="1139" w:type="dxa"/>
          </w:tcPr>
          <w:p w:rsidR="004D3B16" w:rsidRPr="004D3B16" w:rsidRDefault="004D3B16" w:rsidP="00A123CB">
            <w:pPr>
              <w:bidi/>
              <w:rPr>
                <w:sz w:val="44"/>
                <w:szCs w:val="48"/>
                <w:rtl/>
              </w:rPr>
            </w:pPr>
            <w:r w:rsidRPr="004D3B16">
              <w:rPr>
                <w:rFonts w:hint="cs"/>
                <w:sz w:val="44"/>
                <w:szCs w:val="48"/>
                <w:rtl/>
              </w:rPr>
              <w:t>ردیف</w:t>
            </w:r>
          </w:p>
        </w:tc>
        <w:tc>
          <w:tcPr>
            <w:tcW w:w="3260" w:type="dxa"/>
          </w:tcPr>
          <w:p w:rsidR="004D3B16" w:rsidRPr="004D3B16" w:rsidRDefault="004D3B16" w:rsidP="00A123CB">
            <w:pPr>
              <w:bidi/>
              <w:rPr>
                <w:sz w:val="44"/>
                <w:szCs w:val="48"/>
                <w:rtl/>
              </w:rPr>
            </w:pPr>
            <w:r w:rsidRPr="004D3B16">
              <w:rPr>
                <w:rFonts w:hint="cs"/>
                <w:sz w:val="44"/>
                <w:szCs w:val="48"/>
                <w:rtl/>
              </w:rPr>
              <w:t>نام کتاب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داروهای ژنریک ایران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19</w:t>
            </w:r>
          </w:p>
        </w:tc>
        <w:tc>
          <w:tcPr>
            <w:tcW w:w="3260" w:type="dxa"/>
            <w:vAlign w:val="center"/>
          </w:tcPr>
          <w:p w:rsidR="004D3B16" w:rsidRDefault="00D50123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درسنامه داخلی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جراحی مغزواعصاب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روان پرستاری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20</w:t>
            </w:r>
          </w:p>
        </w:tc>
        <w:tc>
          <w:tcPr>
            <w:tcW w:w="3260" w:type="dxa"/>
            <w:vAlign w:val="center"/>
          </w:tcPr>
          <w:p w:rsidR="004D3B16" w:rsidRDefault="00D50123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درسنامه جامع اتاق عمل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</w:pPr>
            <w:r>
              <w:rPr>
                <w:rFonts w:hint="cs"/>
                <w:rtl/>
              </w:rPr>
              <w:t>تازه های احیا</w:t>
            </w:r>
            <w:r>
              <w:t>AHA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21</w:t>
            </w:r>
          </w:p>
        </w:tc>
        <w:tc>
          <w:tcPr>
            <w:tcW w:w="3260" w:type="dxa"/>
            <w:vAlign w:val="center"/>
          </w:tcPr>
          <w:p w:rsidR="004D3B16" w:rsidRDefault="00D50123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درسنامه جامع هوشبهری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پرستاری بهداشت مادران ونوزادان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22</w:t>
            </w:r>
          </w:p>
        </w:tc>
        <w:tc>
          <w:tcPr>
            <w:tcW w:w="3260" w:type="dxa"/>
            <w:vAlign w:val="center"/>
          </w:tcPr>
          <w:p w:rsidR="004D3B16" w:rsidRDefault="00D50123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اورژانسهای طب داخلی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درسنامه جامع پرستاری ویرایش جدید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23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اصول مدیریت خدمات پرستاری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اصول کلی تزریقات در کودکان وبزرگسالان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24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اورژانس قلب وعروق آکسفورد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</w:pPr>
            <w:r>
              <w:rPr>
                <w:rFonts w:hint="cs"/>
                <w:rtl/>
              </w:rPr>
              <w:t xml:space="preserve">تفسیر </w:t>
            </w:r>
            <w:r>
              <w:t>ECG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25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زخم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الکتروکاردیوگرافی بالینی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26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نکات برتر اورژانس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خواندن الکتروکاردیوگرام فقط در 2ساعت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27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</w:pPr>
            <w:r>
              <w:rPr>
                <w:rFonts w:hint="cs"/>
                <w:rtl/>
              </w:rPr>
              <w:t xml:space="preserve">کتاب کامل </w:t>
            </w:r>
            <w:r>
              <w:t>ICU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درسنامه پرستاری داخلی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جراحی برونر سودارث (عفونی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اورژانس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بحران)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28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محاسبات داروهای وریدی برای پرستاران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</w:pPr>
            <w:r>
              <w:rPr>
                <w:rFonts w:hint="cs"/>
                <w:rtl/>
              </w:rPr>
              <w:t xml:space="preserve">تنها کتاب </w:t>
            </w:r>
            <w:r>
              <w:t>EKG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29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پروسیجرهادر اورژانس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اطلس میکروبیولوژی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30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</w:pPr>
            <w:r>
              <w:rPr>
                <w:rFonts w:hint="cs"/>
                <w:rtl/>
              </w:rPr>
              <w:t xml:space="preserve">دستنامه تشخیص افتراقی </w:t>
            </w:r>
            <w:r>
              <w:t>DSM-5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254" w:type="dxa"/>
            <w:vAlign w:val="center"/>
          </w:tcPr>
          <w:p w:rsidR="004D3B16" w:rsidRDefault="00F60855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اطلس خون شناسی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31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مسموییت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254" w:type="dxa"/>
            <w:vAlign w:val="center"/>
          </w:tcPr>
          <w:p w:rsidR="004D3B16" w:rsidRDefault="00D50123" w:rsidP="00A123CB">
            <w:pPr>
              <w:bidi/>
            </w:pPr>
            <w:r>
              <w:t>PCR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32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کلیات سوختگی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254" w:type="dxa"/>
            <w:vAlign w:val="center"/>
          </w:tcPr>
          <w:p w:rsidR="004D3B16" w:rsidRDefault="00D50123" w:rsidP="00A123CB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مراقبت از زخم وتکنیک های بخیه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33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پرستاری بیهوشی 1و2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254" w:type="dxa"/>
            <w:vAlign w:val="center"/>
          </w:tcPr>
          <w:p w:rsidR="004D3B16" w:rsidRDefault="00D50123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مسمویت ها اصول تشخیص و درمان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34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مدیریت درمان با مایعات والکترولیت ها در پیرامون عمل جلد 23و24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254" w:type="dxa"/>
            <w:vAlign w:val="center"/>
          </w:tcPr>
          <w:p w:rsidR="004D3B16" w:rsidRDefault="00D50123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اورژانس روانپزشکی با نمونه های بالینی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35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مهارت های بالینی کار در اتاق عمل از تئوری تا عملی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4D3B16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254" w:type="dxa"/>
            <w:vAlign w:val="center"/>
          </w:tcPr>
          <w:p w:rsidR="004D3B16" w:rsidRDefault="00D50123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تکنیک های توان بخشی درمان سکته مغزی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36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کلیات بهداشت حرفه ای وبیماری های شغلی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lastRenderedPageBreak/>
              <w:t>37</w:t>
            </w:r>
          </w:p>
        </w:tc>
        <w:tc>
          <w:tcPr>
            <w:tcW w:w="3254" w:type="dxa"/>
            <w:vAlign w:val="center"/>
          </w:tcPr>
          <w:p w:rsidR="004D3B16" w:rsidRDefault="00D50123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مدیریت سلامت در بحران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48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روان پرستاری بهداشت و روان 2اختلالات روانپزشکی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38</w:t>
            </w:r>
          </w:p>
        </w:tc>
        <w:tc>
          <w:tcPr>
            <w:tcW w:w="3254" w:type="dxa"/>
            <w:vAlign w:val="center"/>
          </w:tcPr>
          <w:p w:rsidR="004D3B16" w:rsidRDefault="00D50123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ایمونولوژی وسرولوژی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49</w:t>
            </w:r>
          </w:p>
        </w:tc>
        <w:tc>
          <w:tcPr>
            <w:tcW w:w="3260" w:type="dxa"/>
            <w:vAlign w:val="center"/>
          </w:tcPr>
          <w:p w:rsidR="004D3B16" w:rsidRDefault="006F6941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پریشانی اخ</w:t>
            </w:r>
            <w:r w:rsidR="00AB6F3E">
              <w:rPr>
                <w:rFonts w:hint="cs"/>
                <w:rtl/>
              </w:rPr>
              <w:t>لاقی پرستار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4D3B16" w:rsidTr="00A123CB">
        <w:tc>
          <w:tcPr>
            <w:tcW w:w="1245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39</w:t>
            </w:r>
          </w:p>
        </w:tc>
        <w:tc>
          <w:tcPr>
            <w:tcW w:w="3254" w:type="dxa"/>
            <w:vAlign w:val="center"/>
          </w:tcPr>
          <w:p w:rsidR="004D3B16" w:rsidRDefault="00D50123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هماتولوژی وبانک خون</w:t>
            </w:r>
          </w:p>
        </w:tc>
        <w:tc>
          <w:tcPr>
            <w:tcW w:w="1139" w:type="dxa"/>
            <w:vAlign w:val="center"/>
          </w:tcPr>
          <w:p w:rsidR="004D3B16" w:rsidRDefault="00A123CB" w:rsidP="00A123CB">
            <w:pPr>
              <w:bidi/>
              <w:rPr>
                <w:rtl/>
              </w:rPr>
            </w:pPr>
            <w:r>
              <w:t>50</w:t>
            </w:r>
          </w:p>
        </w:tc>
        <w:tc>
          <w:tcPr>
            <w:tcW w:w="3260" w:type="dxa"/>
            <w:vAlign w:val="center"/>
          </w:tcPr>
          <w:p w:rsidR="004D3B16" w:rsidRDefault="00AB6F3E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گام اول در بیهوشی</w:t>
            </w:r>
          </w:p>
        </w:tc>
        <w:tc>
          <w:tcPr>
            <w:tcW w:w="678" w:type="dxa"/>
          </w:tcPr>
          <w:p w:rsidR="004D3B16" w:rsidRDefault="004D3B16" w:rsidP="00A123CB">
            <w:pPr>
              <w:bidi/>
              <w:rPr>
                <w:rtl/>
              </w:rPr>
            </w:pPr>
          </w:p>
        </w:tc>
      </w:tr>
      <w:tr w:rsidR="00AB6F3E" w:rsidTr="00A123CB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245" w:type="dxa"/>
            <w:vAlign w:val="center"/>
          </w:tcPr>
          <w:p w:rsidR="00AB6F3E" w:rsidRDefault="00A123CB" w:rsidP="00A123CB">
            <w:pPr>
              <w:tabs>
                <w:tab w:val="center" w:pos="4680"/>
              </w:tabs>
              <w:bidi/>
              <w:rPr>
                <w:rtl/>
              </w:rPr>
            </w:pPr>
            <w:r>
              <w:t>40</w:t>
            </w:r>
          </w:p>
        </w:tc>
        <w:tc>
          <w:tcPr>
            <w:tcW w:w="3254" w:type="dxa"/>
            <w:vAlign w:val="center"/>
          </w:tcPr>
          <w:p w:rsidR="00AB6F3E" w:rsidRDefault="002C375C" w:rsidP="00A123CB">
            <w:pPr>
              <w:tabs>
                <w:tab w:val="center" w:pos="4680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اریتمی های قلبی</w:t>
            </w:r>
          </w:p>
        </w:tc>
        <w:tc>
          <w:tcPr>
            <w:tcW w:w="1139" w:type="dxa"/>
            <w:vAlign w:val="center"/>
          </w:tcPr>
          <w:p w:rsidR="00AB6F3E" w:rsidRDefault="00A123CB" w:rsidP="00A123CB">
            <w:pPr>
              <w:tabs>
                <w:tab w:val="center" w:pos="4680"/>
              </w:tabs>
              <w:bidi/>
              <w:rPr>
                <w:rtl/>
              </w:rPr>
            </w:pPr>
            <w:r>
              <w:t>51</w:t>
            </w:r>
          </w:p>
        </w:tc>
        <w:tc>
          <w:tcPr>
            <w:tcW w:w="3260" w:type="dxa"/>
            <w:vAlign w:val="center"/>
          </w:tcPr>
          <w:p w:rsidR="00AB6F3E" w:rsidRDefault="002C375C" w:rsidP="00A123CB">
            <w:pPr>
              <w:tabs>
                <w:tab w:val="center" w:pos="4680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چگونه یک مقاله بنویسیم</w:t>
            </w:r>
          </w:p>
        </w:tc>
        <w:tc>
          <w:tcPr>
            <w:tcW w:w="678" w:type="dxa"/>
          </w:tcPr>
          <w:p w:rsidR="00AB6F3E" w:rsidRDefault="00AB6F3E" w:rsidP="00A123CB">
            <w:pPr>
              <w:tabs>
                <w:tab w:val="center" w:pos="4680"/>
              </w:tabs>
              <w:bidi/>
              <w:rPr>
                <w:rtl/>
              </w:rPr>
            </w:pPr>
          </w:p>
        </w:tc>
      </w:tr>
      <w:tr w:rsidR="00AB6F3E" w:rsidTr="00A123CB">
        <w:tblPrEx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1245" w:type="dxa"/>
            <w:vAlign w:val="center"/>
          </w:tcPr>
          <w:p w:rsidR="00AB6F3E" w:rsidRDefault="00A123CB" w:rsidP="00A123CB">
            <w:pPr>
              <w:tabs>
                <w:tab w:val="center" w:pos="4680"/>
              </w:tabs>
              <w:bidi/>
              <w:rPr>
                <w:rtl/>
              </w:rPr>
            </w:pPr>
            <w:r>
              <w:t>41</w:t>
            </w:r>
          </w:p>
        </w:tc>
        <w:tc>
          <w:tcPr>
            <w:tcW w:w="3254" w:type="dxa"/>
            <w:vAlign w:val="center"/>
          </w:tcPr>
          <w:p w:rsidR="00AB6F3E" w:rsidRDefault="002C375C" w:rsidP="00A123CB">
            <w:pPr>
              <w:tabs>
                <w:tab w:val="center" w:pos="4680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اصول ومراقبت های ویژه جراحی قلب</w:t>
            </w:r>
          </w:p>
        </w:tc>
        <w:tc>
          <w:tcPr>
            <w:tcW w:w="1139" w:type="dxa"/>
            <w:vAlign w:val="center"/>
          </w:tcPr>
          <w:p w:rsidR="00AB6F3E" w:rsidRDefault="00A123CB" w:rsidP="00A123CB">
            <w:pPr>
              <w:tabs>
                <w:tab w:val="center" w:pos="4680"/>
              </w:tabs>
              <w:bidi/>
              <w:rPr>
                <w:rtl/>
              </w:rPr>
            </w:pPr>
            <w:r>
              <w:t>52</w:t>
            </w:r>
          </w:p>
        </w:tc>
        <w:tc>
          <w:tcPr>
            <w:tcW w:w="3260" w:type="dxa"/>
            <w:vAlign w:val="center"/>
          </w:tcPr>
          <w:p w:rsidR="00AB6F3E" w:rsidRDefault="002C375C" w:rsidP="00A123CB">
            <w:pPr>
              <w:tabs>
                <w:tab w:val="center" w:pos="4680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احیای قلب ریوی نوزادان</w:t>
            </w:r>
          </w:p>
        </w:tc>
        <w:tc>
          <w:tcPr>
            <w:tcW w:w="678" w:type="dxa"/>
          </w:tcPr>
          <w:p w:rsidR="00AB6F3E" w:rsidRDefault="00AB6F3E" w:rsidP="00A123CB">
            <w:pPr>
              <w:tabs>
                <w:tab w:val="center" w:pos="4680"/>
              </w:tabs>
              <w:bidi/>
              <w:rPr>
                <w:rtl/>
              </w:rPr>
            </w:pPr>
          </w:p>
        </w:tc>
      </w:tr>
      <w:tr w:rsidR="00AB6F3E" w:rsidTr="00A123CB">
        <w:tblPrEx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1245" w:type="dxa"/>
            <w:vAlign w:val="center"/>
          </w:tcPr>
          <w:p w:rsidR="00AB6F3E" w:rsidRDefault="00A123CB" w:rsidP="00A123CB">
            <w:pPr>
              <w:bidi/>
              <w:rPr>
                <w:rtl/>
              </w:rPr>
            </w:pPr>
            <w:r>
              <w:t>42</w:t>
            </w:r>
          </w:p>
        </w:tc>
        <w:tc>
          <w:tcPr>
            <w:tcW w:w="3254" w:type="dxa"/>
            <w:vAlign w:val="center"/>
          </w:tcPr>
          <w:p w:rsidR="00AB6F3E" w:rsidRDefault="002C375C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درسنامه برونر وسودارشا پرستاری بزرگسالان وسالمندان 1و2</w:t>
            </w:r>
          </w:p>
        </w:tc>
        <w:tc>
          <w:tcPr>
            <w:tcW w:w="1139" w:type="dxa"/>
            <w:vAlign w:val="center"/>
          </w:tcPr>
          <w:p w:rsidR="00AB6F3E" w:rsidRDefault="00A123CB" w:rsidP="00A123CB">
            <w:pPr>
              <w:bidi/>
              <w:rPr>
                <w:rtl/>
              </w:rPr>
            </w:pPr>
            <w:r>
              <w:t>53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AB6F3E" w:rsidRDefault="002C375C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بیماری های همراه وبیهوشی</w:t>
            </w:r>
          </w:p>
        </w:tc>
        <w:tc>
          <w:tcPr>
            <w:tcW w:w="678" w:type="dxa"/>
          </w:tcPr>
          <w:p w:rsidR="00AB6F3E" w:rsidRDefault="00AB6F3E" w:rsidP="00A123CB">
            <w:pPr>
              <w:bidi/>
              <w:rPr>
                <w:rtl/>
              </w:rPr>
            </w:pPr>
          </w:p>
        </w:tc>
      </w:tr>
      <w:tr w:rsidR="00AB6F3E" w:rsidTr="00A123CB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245" w:type="dxa"/>
            <w:vAlign w:val="center"/>
          </w:tcPr>
          <w:p w:rsidR="00AB6F3E" w:rsidRDefault="00A123CB" w:rsidP="00A123CB">
            <w:pPr>
              <w:bidi/>
              <w:rPr>
                <w:rtl/>
              </w:rPr>
            </w:pPr>
            <w:r>
              <w:t>43</w:t>
            </w:r>
          </w:p>
        </w:tc>
        <w:tc>
          <w:tcPr>
            <w:tcW w:w="3254" w:type="dxa"/>
            <w:vAlign w:val="center"/>
          </w:tcPr>
          <w:p w:rsidR="00AB6F3E" w:rsidRDefault="002C375C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تشخیص افتراقی چرچیل</w:t>
            </w:r>
          </w:p>
        </w:tc>
        <w:tc>
          <w:tcPr>
            <w:tcW w:w="1139" w:type="dxa"/>
            <w:vAlign w:val="center"/>
          </w:tcPr>
          <w:p w:rsidR="00AB6F3E" w:rsidRDefault="00AB6F3E" w:rsidP="00A123CB">
            <w:pPr>
              <w:bidi/>
              <w:rPr>
                <w:rtl/>
              </w:rPr>
            </w:pPr>
          </w:p>
        </w:tc>
        <w:tc>
          <w:tcPr>
            <w:tcW w:w="3260" w:type="dxa"/>
            <w:vAlign w:val="center"/>
          </w:tcPr>
          <w:p w:rsidR="00AB6F3E" w:rsidRDefault="00AB6F3E" w:rsidP="00A123CB">
            <w:pPr>
              <w:bidi/>
              <w:rPr>
                <w:rtl/>
              </w:rPr>
            </w:pPr>
          </w:p>
        </w:tc>
        <w:tc>
          <w:tcPr>
            <w:tcW w:w="678" w:type="dxa"/>
          </w:tcPr>
          <w:p w:rsidR="00AB6F3E" w:rsidRDefault="00AB6F3E" w:rsidP="00A123CB">
            <w:pPr>
              <w:bidi/>
              <w:rPr>
                <w:rtl/>
              </w:rPr>
            </w:pPr>
          </w:p>
        </w:tc>
      </w:tr>
      <w:tr w:rsidR="002C375C" w:rsidTr="00A123CB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245" w:type="dxa"/>
            <w:vAlign w:val="center"/>
          </w:tcPr>
          <w:p w:rsidR="002C375C" w:rsidRDefault="00A123CB" w:rsidP="00A123CB">
            <w:pPr>
              <w:bidi/>
              <w:rPr>
                <w:rtl/>
              </w:rPr>
            </w:pPr>
            <w:r>
              <w:t>44</w:t>
            </w:r>
          </w:p>
        </w:tc>
        <w:tc>
          <w:tcPr>
            <w:tcW w:w="3254" w:type="dxa"/>
            <w:vAlign w:val="center"/>
          </w:tcPr>
          <w:p w:rsidR="002C375C" w:rsidRDefault="002C375C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راهنمای تجویز دارو</w:t>
            </w:r>
          </w:p>
        </w:tc>
        <w:tc>
          <w:tcPr>
            <w:tcW w:w="1139" w:type="dxa"/>
            <w:vAlign w:val="center"/>
          </w:tcPr>
          <w:p w:rsidR="002C375C" w:rsidRDefault="002C375C" w:rsidP="00A123CB">
            <w:pPr>
              <w:bidi/>
              <w:rPr>
                <w:rtl/>
              </w:rPr>
            </w:pPr>
          </w:p>
        </w:tc>
        <w:tc>
          <w:tcPr>
            <w:tcW w:w="3260" w:type="dxa"/>
            <w:vAlign w:val="center"/>
          </w:tcPr>
          <w:p w:rsidR="002C375C" w:rsidRDefault="002C375C" w:rsidP="00A123CB">
            <w:pPr>
              <w:bidi/>
              <w:rPr>
                <w:rtl/>
              </w:rPr>
            </w:pPr>
          </w:p>
        </w:tc>
        <w:tc>
          <w:tcPr>
            <w:tcW w:w="678" w:type="dxa"/>
          </w:tcPr>
          <w:p w:rsidR="002C375C" w:rsidRDefault="002C375C" w:rsidP="00A123CB">
            <w:pPr>
              <w:bidi/>
              <w:rPr>
                <w:rtl/>
              </w:rPr>
            </w:pPr>
          </w:p>
        </w:tc>
      </w:tr>
      <w:tr w:rsidR="002C375C" w:rsidTr="00A123CB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245" w:type="dxa"/>
            <w:vAlign w:val="center"/>
          </w:tcPr>
          <w:p w:rsidR="002C375C" w:rsidRDefault="00A123CB" w:rsidP="00A123CB">
            <w:pPr>
              <w:bidi/>
              <w:rPr>
                <w:rtl/>
              </w:rPr>
            </w:pPr>
            <w:r>
              <w:t>45</w:t>
            </w:r>
          </w:p>
        </w:tc>
        <w:tc>
          <w:tcPr>
            <w:tcW w:w="3254" w:type="dxa"/>
            <w:vAlign w:val="center"/>
          </w:tcPr>
          <w:p w:rsidR="002C375C" w:rsidRDefault="002C375C" w:rsidP="00A123C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راهنمای جیبی مبانی پرستاری مراقبت های ویژه</w:t>
            </w:r>
          </w:p>
        </w:tc>
        <w:tc>
          <w:tcPr>
            <w:tcW w:w="1139" w:type="dxa"/>
            <w:vAlign w:val="center"/>
          </w:tcPr>
          <w:p w:rsidR="002C375C" w:rsidRDefault="002C375C" w:rsidP="00A123CB">
            <w:pPr>
              <w:bidi/>
              <w:rPr>
                <w:rtl/>
              </w:rPr>
            </w:pPr>
          </w:p>
        </w:tc>
        <w:tc>
          <w:tcPr>
            <w:tcW w:w="3260" w:type="dxa"/>
            <w:vAlign w:val="center"/>
          </w:tcPr>
          <w:p w:rsidR="002C375C" w:rsidRDefault="002C375C" w:rsidP="00A123CB">
            <w:pPr>
              <w:bidi/>
              <w:rPr>
                <w:rtl/>
              </w:rPr>
            </w:pPr>
          </w:p>
        </w:tc>
        <w:tc>
          <w:tcPr>
            <w:tcW w:w="678" w:type="dxa"/>
          </w:tcPr>
          <w:p w:rsidR="002C375C" w:rsidRDefault="002C375C" w:rsidP="00A123CB">
            <w:pPr>
              <w:bidi/>
              <w:rPr>
                <w:rtl/>
              </w:rPr>
            </w:pPr>
          </w:p>
        </w:tc>
      </w:tr>
      <w:tr w:rsidR="00A123CB" w:rsidTr="00A123CB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245" w:type="dxa"/>
            <w:vAlign w:val="center"/>
          </w:tcPr>
          <w:p w:rsidR="00A123CB" w:rsidRDefault="00A123CB" w:rsidP="00A123CB">
            <w:pPr>
              <w:bidi/>
              <w:rPr>
                <w:rtl/>
              </w:rPr>
            </w:pPr>
            <w:r>
              <w:t>46</w:t>
            </w:r>
          </w:p>
        </w:tc>
        <w:tc>
          <w:tcPr>
            <w:tcW w:w="3254" w:type="dxa"/>
            <w:vAlign w:val="center"/>
          </w:tcPr>
          <w:p w:rsidR="00A123CB" w:rsidRDefault="00A123CB" w:rsidP="00E205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تشخیص افتراقی قاردنی</w:t>
            </w:r>
          </w:p>
        </w:tc>
        <w:tc>
          <w:tcPr>
            <w:tcW w:w="1139" w:type="dxa"/>
            <w:vAlign w:val="center"/>
          </w:tcPr>
          <w:p w:rsidR="00A123CB" w:rsidRDefault="00A123CB" w:rsidP="00A123CB">
            <w:pPr>
              <w:bidi/>
              <w:rPr>
                <w:rtl/>
              </w:rPr>
            </w:pPr>
          </w:p>
        </w:tc>
        <w:tc>
          <w:tcPr>
            <w:tcW w:w="3260" w:type="dxa"/>
            <w:vAlign w:val="center"/>
          </w:tcPr>
          <w:p w:rsidR="00A123CB" w:rsidRDefault="00A123CB" w:rsidP="00A123CB">
            <w:pPr>
              <w:bidi/>
              <w:rPr>
                <w:rtl/>
              </w:rPr>
            </w:pPr>
          </w:p>
        </w:tc>
        <w:tc>
          <w:tcPr>
            <w:tcW w:w="678" w:type="dxa"/>
          </w:tcPr>
          <w:p w:rsidR="00A123CB" w:rsidRDefault="00A123CB" w:rsidP="00A123CB">
            <w:pPr>
              <w:bidi/>
              <w:rPr>
                <w:rtl/>
              </w:rPr>
            </w:pPr>
          </w:p>
        </w:tc>
      </w:tr>
      <w:tr w:rsidR="00A123CB" w:rsidTr="00A123CB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1245" w:type="dxa"/>
          </w:tcPr>
          <w:p w:rsidR="00A123CB" w:rsidRDefault="00A123CB" w:rsidP="00A123CB">
            <w:pPr>
              <w:bidi/>
              <w:rPr>
                <w:rtl/>
              </w:rPr>
            </w:pPr>
            <w:r>
              <w:t>47</w:t>
            </w:r>
          </w:p>
        </w:tc>
        <w:tc>
          <w:tcPr>
            <w:tcW w:w="3254" w:type="dxa"/>
            <w:vAlign w:val="center"/>
          </w:tcPr>
          <w:p w:rsidR="00A123CB" w:rsidRDefault="00A123CB" w:rsidP="00E205E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راهنمای جیبی پرتو نگاری</w:t>
            </w:r>
          </w:p>
        </w:tc>
        <w:tc>
          <w:tcPr>
            <w:tcW w:w="1139" w:type="dxa"/>
          </w:tcPr>
          <w:p w:rsidR="00A123CB" w:rsidRDefault="00A123CB" w:rsidP="00A123CB">
            <w:pPr>
              <w:bidi/>
              <w:rPr>
                <w:rtl/>
              </w:rPr>
            </w:pPr>
          </w:p>
        </w:tc>
        <w:tc>
          <w:tcPr>
            <w:tcW w:w="3260" w:type="dxa"/>
          </w:tcPr>
          <w:p w:rsidR="00A123CB" w:rsidRDefault="00A123CB" w:rsidP="00A123CB">
            <w:pPr>
              <w:bidi/>
              <w:rPr>
                <w:rtl/>
              </w:rPr>
            </w:pPr>
          </w:p>
        </w:tc>
        <w:tc>
          <w:tcPr>
            <w:tcW w:w="678" w:type="dxa"/>
          </w:tcPr>
          <w:p w:rsidR="00A123CB" w:rsidRDefault="00A123CB" w:rsidP="00A123CB">
            <w:pPr>
              <w:bidi/>
              <w:rPr>
                <w:rtl/>
              </w:rPr>
            </w:pPr>
          </w:p>
        </w:tc>
      </w:tr>
    </w:tbl>
    <w:p w:rsidR="004D3B16" w:rsidRDefault="004D3B16" w:rsidP="00A123CB">
      <w:pPr>
        <w:bidi/>
      </w:pPr>
    </w:p>
    <w:sectPr w:rsidR="004D3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16"/>
    <w:rsid w:val="000548F2"/>
    <w:rsid w:val="002804EB"/>
    <w:rsid w:val="002B6F52"/>
    <w:rsid w:val="002C375C"/>
    <w:rsid w:val="004D3B16"/>
    <w:rsid w:val="006F6941"/>
    <w:rsid w:val="00A123CB"/>
    <w:rsid w:val="00AB6F3E"/>
    <w:rsid w:val="00D50123"/>
    <w:rsid w:val="00F6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52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F5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F5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9A57C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F5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675E47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F5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F52"/>
    <w:rPr>
      <w:rFonts w:asciiTheme="majorHAnsi" w:eastAsiaTheme="majorEastAsia" w:hAnsiTheme="majorHAnsi" w:cstheme="majorBidi"/>
      <w:bCs/>
      <w:color w:val="A9A57C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6F52"/>
    <w:rPr>
      <w:rFonts w:eastAsiaTheme="majorEastAsia" w:cstheme="majorBidi"/>
      <w:b/>
      <w:bCs/>
      <w:color w:val="A9A57C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F52"/>
    <w:rPr>
      <w:rFonts w:asciiTheme="majorHAnsi" w:eastAsiaTheme="majorEastAsia" w:hAnsiTheme="majorHAnsi" w:cstheme="majorBidi"/>
      <w:bCs/>
      <w:color w:val="675E47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F5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F52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F52"/>
    <w:rPr>
      <w:rFonts w:asciiTheme="majorHAnsi" w:eastAsiaTheme="majorEastAsia" w:hAnsiTheme="majorHAnsi" w:cstheme="majorBidi"/>
      <w:iCs/>
      <w:color w:val="A9A57C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F5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F5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F5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6F52"/>
    <w:pPr>
      <w:spacing w:line="240" w:lineRule="auto"/>
    </w:pPr>
    <w:rPr>
      <w:rFonts w:asciiTheme="majorHAnsi" w:eastAsiaTheme="minorEastAsia" w:hAnsiTheme="majorHAnsi"/>
      <w:bCs/>
      <w:smallCaps/>
      <w:color w:val="675E47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B6F5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675E47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6F52"/>
    <w:rPr>
      <w:rFonts w:asciiTheme="majorHAnsi" w:eastAsiaTheme="majorEastAsia" w:hAnsiTheme="majorHAnsi" w:cstheme="majorBidi"/>
      <w:color w:val="675E47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F52"/>
    <w:pPr>
      <w:numPr>
        <w:ilvl w:val="1"/>
      </w:numPr>
    </w:pPr>
    <w:rPr>
      <w:rFonts w:eastAsiaTheme="majorEastAsia" w:cstheme="majorBidi"/>
      <w:iCs/>
      <w:color w:val="675E47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B6F52"/>
    <w:rPr>
      <w:rFonts w:eastAsiaTheme="majorEastAsia" w:cstheme="majorBidi"/>
      <w:iCs/>
      <w:color w:val="675E47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2B6F52"/>
    <w:rPr>
      <w:b w:val="0"/>
      <w:bCs/>
      <w:i/>
      <w:color w:val="675E47" w:themeColor="text2"/>
    </w:rPr>
  </w:style>
  <w:style w:type="character" w:styleId="Emphasis">
    <w:name w:val="Emphasis"/>
    <w:basedOn w:val="DefaultParagraphFont"/>
    <w:uiPriority w:val="20"/>
    <w:qFormat/>
    <w:rsid w:val="002B6F52"/>
    <w:rPr>
      <w:b/>
      <w:i/>
      <w:iCs/>
    </w:rPr>
  </w:style>
  <w:style w:type="paragraph" w:styleId="NoSpacing">
    <w:name w:val="No Spacing"/>
    <w:link w:val="NoSpacingChar"/>
    <w:uiPriority w:val="1"/>
    <w:qFormat/>
    <w:rsid w:val="002B6F5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B6F52"/>
  </w:style>
  <w:style w:type="paragraph" w:styleId="ListParagraph">
    <w:name w:val="List Paragraph"/>
    <w:basedOn w:val="Normal"/>
    <w:uiPriority w:val="34"/>
    <w:qFormat/>
    <w:rsid w:val="002B6F52"/>
    <w:pPr>
      <w:spacing w:line="240" w:lineRule="auto"/>
      <w:ind w:left="720" w:hanging="288"/>
      <w:contextualSpacing/>
    </w:pPr>
    <w:rPr>
      <w:color w:val="675E47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B6F52"/>
    <w:pPr>
      <w:spacing w:after="0" w:line="360" w:lineRule="auto"/>
      <w:jc w:val="center"/>
    </w:pPr>
    <w:rPr>
      <w:rFonts w:eastAsiaTheme="minorEastAsia"/>
      <w:b/>
      <w:i/>
      <w:iCs/>
      <w:color w:val="A9A57C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B6F52"/>
    <w:rPr>
      <w:rFonts w:eastAsiaTheme="minorEastAsia"/>
      <w:b/>
      <w:i/>
      <w:iCs/>
      <w:color w:val="A9A57C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F52"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F5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A9A57C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2B6F52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B6F52"/>
    <w:rPr>
      <w:b/>
      <w:bCs/>
      <w:i/>
      <w:iCs/>
      <w:color w:val="A9A57C" w:themeColor="accent1"/>
    </w:rPr>
  </w:style>
  <w:style w:type="character" w:styleId="SubtleReference">
    <w:name w:val="Subtle Reference"/>
    <w:basedOn w:val="DefaultParagraphFont"/>
    <w:uiPriority w:val="31"/>
    <w:qFormat/>
    <w:rsid w:val="002B6F52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B6F52"/>
    <w:rPr>
      <w:b w:val="0"/>
      <w:bCs/>
      <w:smallCaps/>
      <w:color w:val="A9A57C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6F52"/>
    <w:rPr>
      <w:b/>
      <w:bCs/>
      <w:caps/>
      <w:smallCaps w:val="0"/>
      <w:color w:val="675E47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F52"/>
    <w:pPr>
      <w:spacing w:before="480" w:line="264" w:lineRule="auto"/>
      <w:outlineLvl w:val="9"/>
    </w:pPr>
    <w:rPr>
      <w:b/>
    </w:rPr>
  </w:style>
  <w:style w:type="table" w:styleId="TableGrid">
    <w:name w:val="Table Grid"/>
    <w:basedOn w:val="TableNormal"/>
    <w:uiPriority w:val="59"/>
    <w:rsid w:val="004D3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52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F5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F5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9A57C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F5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675E47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F5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F52"/>
    <w:rPr>
      <w:rFonts w:asciiTheme="majorHAnsi" w:eastAsiaTheme="majorEastAsia" w:hAnsiTheme="majorHAnsi" w:cstheme="majorBidi"/>
      <w:bCs/>
      <w:color w:val="A9A57C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6F52"/>
    <w:rPr>
      <w:rFonts w:eastAsiaTheme="majorEastAsia" w:cstheme="majorBidi"/>
      <w:b/>
      <w:bCs/>
      <w:color w:val="A9A57C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F52"/>
    <w:rPr>
      <w:rFonts w:asciiTheme="majorHAnsi" w:eastAsiaTheme="majorEastAsia" w:hAnsiTheme="majorHAnsi" w:cstheme="majorBidi"/>
      <w:bCs/>
      <w:color w:val="675E47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F5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F52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F52"/>
    <w:rPr>
      <w:rFonts w:asciiTheme="majorHAnsi" w:eastAsiaTheme="majorEastAsia" w:hAnsiTheme="majorHAnsi" w:cstheme="majorBidi"/>
      <w:iCs/>
      <w:color w:val="A9A57C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F5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F5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F5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6F52"/>
    <w:pPr>
      <w:spacing w:line="240" w:lineRule="auto"/>
    </w:pPr>
    <w:rPr>
      <w:rFonts w:asciiTheme="majorHAnsi" w:eastAsiaTheme="minorEastAsia" w:hAnsiTheme="majorHAnsi"/>
      <w:bCs/>
      <w:smallCaps/>
      <w:color w:val="675E47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B6F5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675E47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6F52"/>
    <w:rPr>
      <w:rFonts w:asciiTheme="majorHAnsi" w:eastAsiaTheme="majorEastAsia" w:hAnsiTheme="majorHAnsi" w:cstheme="majorBidi"/>
      <w:color w:val="675E47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F52"/>
    <w:pPr>
      <w:numPr>
        <w:ilvl w:val="1"/>
      </w:numPr>
    </w:pPr>
    <w:rPr>
      <w:rFonts w:eastAsiaTheme="majorEastAsia" w:cstheme="majorBidi"/>
      <w:iCs/>
      <w:color w:val="675E47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B6F52"/>
    <w:rPr>
      <w:rFonts w:eastAsiaTheme="majorEastAsia" w:cstheme="majorBidi"/>
      <w:iCs/>
      <w:color w:val="675E47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2B6F52"/>
    <w:rPr>
      <w:b w:val="0"/>
      <w:bCs/>
      <w:i/>
      <w:color w:val="675E47" w:themeColor="text2"/>
    </w:rPr>
  </w:style>
  <w:style w:type="character" w:styleId="Emphasis">
    <w:name w:val="Emphasis"/>
    <w:basedOn w:val="DefaultParagraphFont"/>
    <w:uiPriority w:val="20"/>
    <w:qFormat/>
    <w:rsid w:val="002B6F52"/>
    <w:rPr>
      <w:b/>
      <w:i/>
      <w:iCs/>
    </w:rPr>
  </w:style>
  <w:style w:type="paragraph" w:styleId="NoSpacing">
    <w:name w:val="No Spacing"/>
    <w:link w:val="NoSpacingChar"/>
    <w:uiPriority w:val="1"/>
    <w:qFormat/>
    <w:rsid w:val="002B6F5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B6F52"/>
  </w:style>
  <w:style w:type="paragraph" w:styleId="ListParagraph">
    <w:name w:val="List Paragraph"/>
    <w:basedOn w:val="Normal"/>
    <w:uiPriority w:val="34"/>
    <w:qFormat/>
    <w:rsid w:val="002B6F52"/>
    <w:pPr>
      <w:spacing w:line="240" w:lineRule="auto"/>
      <w:ind w:left="720" w:hanging="288"/>
      <w:contextualSpacing/>
    </w:pPr>
    <w:rPr>
      <w:color w:val="675E47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B6F52"/>
    <w:pPr>
      <w:spacing w:after="0" w:line="360" w:lineRule="auto"/>
      <w:jc w:val="center"/>
    </w:pPr>
    <w:rPr>
      <w:rFonts w:eastAsiaTheme="minorEastAsia"/>
      <w:b/>
      <w:i/>
      <w:iCs/>
      <w:color w:val="A9A57C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B6F52"/>
    <w:rPr>
      <w:rFonts w:eastAsiaTheme="minorEastAsia"/>
      <w:b/>
      <w:i/>
      <w:iCs/>
      <w:color w:val="A9A57C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F52"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F5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A9A57C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2B6F52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B6F52"/>
    <w:rPr>
      <w:b/>
      <w:bCs/>
      <w:i/>
      <w:iCs/>
      <w:color w:val="A9A57C" w:themeColor="accent1"/>
    </w:rPr>
  </w:style>
  <w:style w:type="character" w:styleId="SubtleReference">
    <w:name w:val="Subtle Reference"/>
    <w:basedOn w:val="DefaultParagraphFont"/>
    <w:uiPriority w:val="31"/>
    <w:qFormat/>
    <w:rsid w:val="002B6F52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B6F52"/>
    <w:rPr>
      <w:b w:val="0"/>
      <w:bCs/>
      <w:smallCaps/>
      <w:color w:val="A9A57C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6F52"/>
    <w:rPr>
      <w:b/>
      <w:bCs/>
      <w:caps/>
      <w:smallCaps w:val="0"/>
      <w:color w:val="675E47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F52"/>
    <w:pPr>
      <w:spacing w:before="480" w:line="264" w:lineRule="auto"/>
      <w:outlineLvl w:val="9"/>
    </w:pPr>
    <w:rPr>
      <w:b/>
    </w:rPr>
  </w:style>
  <w:style w:type="table" w:styleId="TableGrid">
    <w:name w:val="Table Grid"/>
    <w:basedOn w:val="TableNormal"/>
    <w:uiPriority w:val="59"/>
    <w:rsid w:val="004D3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B177-FA37-416E-A63E-9048AAC7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emamian</dc:creator>
  <cp:lastModifiedBy>maryam emamian</cp:lastModifiedBy>
  <cp:revision>6</cp:revision>
  <dcterms:created xsi:type="dcterms:W3CDTF">2016-11-13T06:49:00Z</dcterms:created>
  <dcterms:modified xsi:type="dcterms:W3CDTF">2016-11-17T07:20:00Z</dcterms:modified>
</cp:coreProperties>
</file>